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 w:eastAsia="Times New Roman"/>
          <w:b/>
          <w:i w:val="false"/>
          <w:caps w:val="false"/>
          <w:smallCaps w:val="false"/>
          <w:strike w:val="false"/>
          <w:color w:val="17375E"/>
          <w:spacing w:val="0"/>
          <w:sz w:val="44"/>
          <w:u w:val="none"/>
          <w:lang w:val="ru-RU"/>
        </w:rPr>
        <w:t xml:space="preserve">Полномочия</w:t>
      </w:r>
      <w:r>
        <w:rPr>
          <w:rFonts w:ascii="Times New Roman" w:hAnsi="Times New Roman" w:cs="Times New Roman" w:eastAsia="Times New Roman"/>
          <w:b/>
          <w:i w:val="false"/>
          <w:caps w:val="false"/>
          <w:smallCaps w:val="false"/>
          <w:strike w:val="false"/>
          <w:color w:val="17375E"/>
          <w:spacing w:val="0"/>
          <w:sz w:val="48"/>
          <w:u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/>
          <w:i w:val="false"/>
          <w:caps w:val="false"/>
          <w:smallCaps w:val="false"/>
          <w:strike w:val="false"/>
          <w:color w:val="17375E"/>
          <w:spacing w:val="0"/>
          <w:sz w:val="48"/>
          <w:u w:val="none"/>
          <w:lang w:val="ru-RU"/>
        </w:rPr>
        <w:t xml:space="preserve">МКСО </w:t>
      </w:r>
      <w:r>
        <w:rPr>
          <w:rFonts w:ascii="Times New Roman" w:hAnsi="Times New Roman" w:cs="Times New Roman" w:eastAsia="Times New Roman"/>
          <w:b/>
          <w:i w:val="false"/>
          <w:caps w:val="false"/>
          <w:smallCaps w:val="false"/>
          <w:strike w:val="false"/>
          <w:color w:val="17375E"/>
          <w:spacing w:val="0"/>
          <w:sz w:val="48"/>
          <w:u w:val="none"/>
          <w:lang w:val="ru-RU"/>
        </w:rPr>
        <w:t xml:space="preserve">по направлению уведомлений о применении бюджетных мер принуждения</w:t>
      </w:r>
      <w:r>
        <w:rPr>
          <w:rFonts w:ascii="Times New Roman" w:hAnsi="Times New Roman" w:cs="Times New Roman" w:eastAsia="Times New Roman"/>
          <w:b/>
          <w:i w:val="false"/>
          <w:caps w:val="false"/>
          <w:smallCaps w:val="false"/>
          <w:strike w:val="false"/>
          <w:spacing w:val="0"/>
          <w:sz w:val="42"/>
          <w:u w:val="none"/>
          <w:lang w:val="ru-RU"/>
          <w14:textFill>
            <w14:solidFill>
              <w14:schemeClr w14:val="tx2">
                <w14:wordShade w14:val="127"/>
              </w14:schemeClr>
            </w14:solidFill>
          </w14:textFill>
        </w:rPr>
      </w: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ходе</w:t>
      </w:r>
      <w:r>
        <w:rPr>
          <w:rFonts w:ascii="Times New Roman" w:hAnsi="Times New Roman" w:cs="Times New Roman"/>
          <w:sz w:val="28"/>
          <w:szCs w:val="28"/>
        </w:rPr>
        <w:t xml:space="preserve"> подготовки к проведению Общего собрания представительства Союза МКСО в Центральном федеральном округе и тематического круглого стола от Контрольно-счетной палаты города Железногорска Курской области поступило предложен</w:t>
      </w:r>
      <w:r>
        <w:rPr>
          <w:rFonts w:ascii="Times New Roman" w:hAnsi="Times New Roman" w:cs="Times New Roman"/>
          <w:sz w:val="28"/>
          <w:szCs w:val="28"/>
        </w:rPr>
        <w:t xml:space="preserve">ие</w:t>
      </w:r>
      <w:r>
        <w:rPr>
          <w:rFonts w:ascii="Times New Roman" w:hAnsi="Times New Roman" w:cs="Times New Roman"/>
          <w:sz w:val="28"/>
          <w:szCs w:val="28"/>
        </w:rPr>
        <w:t xml:space="preserve"> обсудить </w:t>
      </w:r>
      <w:r>
        <w:rPr>
          <w:rFonts w:ascii="Times New Roman" w:hAnsi="Times New Roman" w:cs="Times New Roman"/>
          <w:sz w:val="28"/>
          <w:szCs w:val="28"/>
        </w:rPr>
        <w:t xml:space="preserve">2 вопроса. Первый – о механизме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КСО норм о бюджетных мерах принуждения в отношении объектов контроля на </w:t>
      </w:r>
      <w:r>
        <w:rPr>
          <w:rFonts w:ascii="Times New Roman" w:hAnsi="Times New Roman" w:cs="Times New Roman"/>
          <w:sz w:val="28"/>
          <w:szCs w:val="28"/>
        </w:rPr>
        <w:t xml:space="preserve">своем же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. Второй – о наличии муниципальных правовых актов или типовой методики по вопросам осуществления функций МКСО в сфере применения бюджетных мер принуждения.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кратко остановиться на этих вопросах.</w:t>
      </w:r>
      <w:r>
        <w:rPr>
          <w:rFonts w:ascii="Times New Roman" w:hAnsi="Times New Roman" w:cs="Times New Roman"/>
          <w:sz w:val="28"/>
          <w:szCs w:val="28"/>
        </w:rPr>
        <w:t xml:space="preserve"> Отмечу, что на сегодня практика направления уведомлений о применении бюджетных мер принуждения в КСП Воронежа отсутствует. </w:t>
      </w:r>
      <w:r>
        <w:rPr>
          <w:rFonts w:ascii="Times New Roman" w:hAnsi="Times New Roman" w:cs="Times New Roman"/>
          <w:sz w:val="28"/>
          <w:szCs w:val="28"/>
        </w:rPr>
        <w:t xml:space="preserve">Это обусловлено отсутствием оснований для их </w:t>
      </w:r>
      <w:r>
        <w:rPr>
          <w:rFonts w:ascii="Times New Roman" w:hAnsi="Times New Roman" w:cs="Times New Roman"/>
          <w:sz w:val="28"/>
          <w:szCs w:val="28"/>
        </w:rPr>
        <w:t xml:space="preserve">направления. </w:t>
      </w:r>
      <w:r>
        <w:rPr>
          <w:rFonts w:ascii="Times New Roman" w:hAnsi="Times New Roman" w:cs="Times New Roman"/>
          <w:sz w:val="28"/>
          <w:szCs w:val="28"/>
        </w:rPr>
        <w:t xml:space="preserve">Поэтому, если у участников нашего мероприяти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 xml:space="preserve">практические примеры по направлению и результатам рассмотрения таких уведомлений, предлагаю поделиться этой информацией.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немного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положениях бюджетного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</w:t>
      </w:r>
      <w:r>
        <w:rPr>
          <w:rFonts w:ascii="Times New Roman" w:hAnsi="Times New Roman" w:cs="Times New Roman"/>
          <w:b/>
          <w:sz w:val="28"/>
          <w:szCs w:val="28"/>
        </w:rPr>
        <w:t xml:space="preserve">олномочия по направлению уведомлений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применению бюджетных мер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Ф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инансовы</w:t>
      </w:r>
      <w:r>
        <w:rPr>
          <w:rFonts w:ascii="Times New Roman" w:hAnsi="Times New Roman" w:cs="Times New Roman"/>
          <w:bCs/>
          <w:sz w:val="28"/>
          <w:szCs w:val="28"/>
        </w:rPr>
        <w:t xml:space="preserve"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Cs/>
          <w:sz w:val="28"/>
          <w:szCs w:val="28"/>
        </w:rPr>
        <w:t xml:space="preserve">ы (Минфин России,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финорганы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субъектов и муниципальных образований)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вправе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принима</w:t>
      </w:r>
      <w:r>
        <w:rPr>
          <w:rFonts w:ascii="Times New Roman" w:hAnsi="Times New Roman" w:cs="Times New Roman"/>
          <w:bCs/>
          <w:sz w:val="28"/>
          <w:szCs w:val="28"/>
        </w:rPr>
        <w:t xml:space="preserve">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применении бюджетных мер принуждения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исключительно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уведомлений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полученных от органов финансового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олномочи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уведомлений </w:t>
      </w:r>
      <w:r>
        <w:rPr>
          <w:rFonts w:ascii="Times New Roman" w:hAnsi="Times New Roman" w:cs="Times New Roman"/>
          <w:sz w:val="28"/>
          <w:szCs w:val="28"/>
        </w:rPr>
        <w:t xml:space="preserve">у нас есть, они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 xml:space="preserve">общих </w:t>
      </w:r>
      <w:r>
        <w:rPr>
          <w:rFonts w:ascii="Times New Roman" w:hAnsi="Times New Roman" w:cs="Times New Roman"/>
          <w:sz w:val="28"/>
          <w:szCs w:val="28"/>
        </w:rPr>
        <w:t xml:space="preserve"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финансовому контролю. </w:t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Основания для применения бюджетных мер принуждения.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</w:t>
      </w:r>
      <w:r>
        <w:rPr>
          <w:rFonts w:ascii="Times New Roman" w:hAnsi="Times New Roman" w:cs="Times New Roman"/>
          <w:sz w:val="28"/>
          <w:szCs w:val="28"/>
        </w:rPr>
        <w:t xml:space="preserve">ые</w:t>
      </w:r>
      <w:r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принуждения применя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тся за совершение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бюджетного нарушения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онятие бюджетного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охватывает широкий круг нарушений </w:t>
      </w:r>
      <w:r>
        <w:rPr>
          <w:rFonts w:ascii="Times New Roman" w:hAnsi="Times New Roman" w:cs="Times New Roman"/>
          <w:sz w:val="28"/>
          <w:szCs w:val="28"/>
        </w:rPr>
        <w:t xml:space="preserve">бюджетного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и иных правовых актов, </w:t>
      </w:r>
      <w:r>
        <w:rPr>
          <w:rFonts w:ascii="Times New Roman" w:hAnsi="Times New Roman" w:cs="Times New Roman"/>
          <w:sz w:val="28"/>
          <w:szCs w:val="28"/>
        </w:rPr>
        <w:t xml:space="preserve">условий договоров (соглашений)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контрактов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Соответствующая норма БК приведена на слайде.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ажно учитывать, что не каждое бюджетное нарушение может повлечь применение бюджетных мер принуждения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существует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нарушений</w:t>
      </w:r>
      <w:r>
        <w:rPr>
          <w:rFonts w:ascii="Times New Roman" w:hAnsi="Times New Roman" w:cs="Times New Roman"/>
          <w:sz w:val="28"/>
          <w:szCs w:val="28"/>
        </w:rPr>
        <w:t xml:space="preserve">, за совершение которых применяются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 xml:space="preserve">меры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нецелевое использование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и нарушения, связанные с бюджетными кредитами (невозврат или несвоевременный возврат, </w:t>
      </w:r>
      <w:r>
        <w:rPr>
          <w:rFonts w:ascii="Times New Roman" w:hAnsi="Times New Roman" w:cs="Times New Roman"/>
          <w:sz w:val="28"/>
          <w:szCs w:val="28"/>
        </w:rPr>
        <w:t xml:space="preserve">неперечисление или несвоевременное перечисление платы, нарушение условий предоставления). </w:t>
      </w:r>
      <w:r>
        <w:rPr>
          <w:rFonts w:ascii="Times New Roman" w:hAnsi="Times New Roman" w:cs="Times New Roman"/>
          <w:i/>
          <w:sz w:val="28"/>
          <w:szCs w:val="28"/>
        </w:rPr>
        <w:t xml:space="preserve">Они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приведены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слайде. 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м</w:t>
      </w:r>
      <w:r>
        <w:rPr>
          <w:rFonts w:ascii="Times New Roman" w:hAnsi="Times New Roman" w:cs="Times New Roman"/>
          <w:sz w:val="28"/>
          <w:szCs w:val="28"/>
        </w:rPr>
        <w:t xml:space="preserve">ер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бюджетного принуждения </w:t>
      </w:r>
      <w:r>
        <w:rPr>
          <w:rFonts w:ascii="Times New Roman" w:hAnsi="Times New Roman" w:cs="Times New Roman"/>
          <w:sz w:val="28"/>
          <w:szCs w:val="28"/>
        </w:rPr>
        <w:t xml:space="preserve">в случае нецелевого использования – это </w:t>
      </w:r>
      <w:r>
        <w:rPr>
          <w:rFonts w:ascii="Times New Roman" w:hAnsi="Times New Roman" w:cs="Times New Roman"/>
          <w:sz w:val="28"/>
          <w:szCs w:val="28"/>
        </w:rPr>
        <w:t xml:space="preserve">бесспорное </w:t>
      </w:r>
      <w:r>
        <w:rPr>
          <w:rFonts w:ascii="Times New Roman" w:hAnsi="Times New Roman" w:cs="Times New Roman"/>
          <w:i/>
          <w:sz w:val="28"/>
          <w:szCs w:val="28"/>
        </w:rPr>
        <w:t xml:space="preserve">взыскание</w:t>
      </w:r>
      <w:r>
        <w:rPr>
          <w:rFonts w:ascii="Times New Roman" w:hAnsi="Times New Roman" w:cs="Times New Roman"/>
          <w:sz w:val="28"/>
          <w:szCs w:val="28"/>
        </w:rPr>
        <w:t xml:space="preserve"> суммы средств, использованных не по назначению, или </w:t>
      </w:r>
      <w:r>
        <w:rPr>
          <w:rFonts w:ascii="Times New Roman" w:hAnsi="Times New Roman" w:cs="Times New Roman"/>
          <w:i/>
          <w:sz w:val="28"/>
          <w:szCs w:val="28"/>
        </w:rPr>
        <w:t xml:space="preserve">сокращение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Исключение - </w:t>
      </w:r>
      <w:r>
        <w:rPr>
          <w:rFonts w:ascii="Times New Roman" w:hAnsi="Times New Roman" w:cs="Times New Roman"/>
          <w:sz w:val="28"/>
          <w:szCs w:val="28"/>
        </w:rPr>
        <w:t xml:space="preserve">субвенци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и дотаци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(они не целевые)</w:t>
      </w:r>
      <w:r>
        <w:rPr>
          <w:rFonts w:ascii="Times New Roman" w:hAnsi="Times New Roman" w:cs="Times New Roman"/>
          <w:sz w:val="28"/>
          <w:szCs w:val="28"/>
        </w:rPr>
        <w:t xml:space="preserve">. Важно отметить, что </w:t>
      </w:r>
      <w:r>
        <w:rPr>
          <w:rFonts w:ascii="Times New Roman" w:hAnsi="Times New Roman" w:cs="Times New Roman"/>
          <w:sz w:val="28"/>
          <w:szCs w:val="28"/>
        </w:rPr>
        <w:t xml:space="preserve">применительно к </w:t>
      </w:r>
      <w:r>
        <w:rPr>
          <w:rFonts w:ascii="Times New Roman" w:hAnsi="Times New Roman" w:cs="Times New Roman"/>
          <w:sz w:val="28"/>
          <w:szCs w:val="28"/>
        </w:rPr>
        <w:t xml:space="preserve">нецелево</w:t>
      </w:r>
      <w:r>
        <w:rPr>
          <w:rFonts w:ascii="Times New Roman" w:hAnsi="Times New Roman" w:cs="Times New Roman"/>
          <w:sz w:val="28"/>
          <w:szCs w:val="28"/>
        </w:rPr>
        <w:t xml:space="preserve">му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речь идет только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, источником финансового обеспечения (или софинансирования) которых являлся межбюджетный трансферт</w:t>
      </w:r>
      <w:r>
        <w:rPr>
          <w:rFonts w:ascii="Times New Roman" w:hAnsi="Times New Roman" w:cs="Times New Roman"/>
          <w:sz w:val="28"/>
          <w:szCs w:val="28"/>
        </w:rPr>
        <w:t xml:space="preserve">, имеющий целевое назначение.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Нарушения, связанные с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бюджетными кредитами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влекут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бесспорное взыскание непогашенного остатка кредита, средств, использованных с нарушением условий предоставления, платы, пеней</w:t>
      </w:r>
      <w:r>
        <w:rPr>
          <w:rFonts w:ascii="Times New Roman" w:hAnsi="Times New Roman" w:cs="Times New Roman"/>
          <w:sz w:val="28"/>
          <w:szCs w:val="28"/>
        </w:rPr>
        <w:t xml:space="preserve">.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с указанной мерой или вместо 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может применяться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межбюджетных трансфертов на сумму непогашенного остатка кредита (платы</w:t>
      </w:r>
      <w:r>
        <w:rPr>
          <w:rFonts w:ascii="Times New Roman" w:hAnsi="Times New Roman" w:cs="Times New Roman"/>
          <w:sz w:val="28"/>
          <w:szCs w:val="28"/>
        </w:rPr>
        <w:t xml:space="preserve">, пени</w:t>
      </w:r>
      <w:r>
        <w:rPr>
          <w:rFonts w:ascii="Times New Roman" w:hAnsi="Times New Roman" w:cs="Times New Roman"/>
          <w:sz w:val="28"/>
          <w:szCs w:val="28"/>
        </w:rPr>
        <w:t xml:space="preserve">), либо в целом </w:t>
      </w:r>
      <w:r>
        <w:rPr>
          <w:rFonts w:ascii="Times New Roman" w:hAnsi="Times New Roman" w:cs="Times New Roman"/>
          <w:sz w:val="28"/>
          <w:szCs w:val="28"/>
        </w:rPr>
        <w:t xml:space="preserve">суммы кредита </w:t>
      </w:r>
      <w:r>
        <w:rPr>
          <w:rFonts w:ascii="Times New Roman" w:hAnsi="Times New Roman" w:cs="Times New Roman"/>
          <w:sz w:val="28"/>
          <w:szCs w:val="28"/>
        </w:rPr>
        <w:t xml:space="preserve">при нарушении условий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предоставления.</w:t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</w:t>
      </w:r>
      <w:r>
        <w:rPr>
          <w:rFonts w:ascii="Times New Roman" w:hAnsi="Times New Roman" w:cs="Times New Roman"/>
          <w:b/>
          <w:sz w:val="28"/>
          <w:szCs w:val="28"/>
        </w:rPr>
        <w:t xml:space="preserve">роцедура направления и рассмотрения уведомлений о применении бюджетных мер принуждения.</w:t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>
        <w:rPr>
          <w:rFonts w:ascii="Times New Roman" w:hAnsi="Times New Roman" w:cs="Times New Roman"/>
          <w:sz w:val="28"/>
          <w:szCs w:val="28"/>
        </w:rPr>
        <w:t xml:space="preserve">документ органа финансового контроля,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обязательный</w:t>
      </w:r>
      <w:r>
        <w:rPr>
          <w:rFonts w:ascii="Times New Roman" w:hAnsi="Times New Roman" w:cs="Times New Roman"/>
          <w:sz w:val="28"/>
          <w:szCs w:val="28"/>
        </w:rPr>
        <w:t xml:space="preserve"> к рассмотрению финансовым органом. </w:t>
      </w:r>
      <w:r>
        <w:rPr>
          <w:rFonts w:ascii="Times New Roman" w:hAnsi="Times New Roman" w:cs="Times New Roman"/>
          <w:sz w:val="28"/>
          <w:szCs w:val="28"/>
        </w:rPr>
        <w:t xml:space="preserve">Он</w:t>
      </w:r>
      <w:r>
        <w:rPr>
          <w:rFonts w:ascii="Times New Roman" w:hAnsi="Times New Roman" w:cs="Times New Roman"/>
          <w:sz w:val="28"/>
          <w:szCs w:val="28"/>
        </w:rPr>
        <w:t xml:space="preserve"> должен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содержа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сведения о выявленных бюджетных нарушениях, об объемах средств, использованных с нарушениями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каждому бюджетному нарушению</w:t>
      </w:r>
      <w:r>
        <w:rPr>
          <w:rFonts w:ascii="Times New Roman" w:hAnsi="Times New Roman" w:cs="Times New Roman"/>
          <w:sz w:val="28"/>
          <w:szCs w:val="28"/>
        </w:rPr>
        <w:t xml:space="preserve">. Причем этот объем средств указывается без учета уже возмещенных в доход соответствующего бюджета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Единая форма уведомления для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КСО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не утверждена. С учетом  </w:t>
      </w:r>
      <w:r>
        <w:rPr>
          <w:rFonts w:ascii="Times New Roman" w:hAnsi="Times New Roman" w:cs="Times New Roman"/>
          <w:sz w:val="28"/>
          <w:szCs w:val="28"/>
        </w:rPr>
        <w:t xml:space="preserve">положений</w:t>
      </w:r>
      <w:r>
        <w:rPr>
          <w:rFonts w:ascii="Times New Roman" w:hAnsi="Times New Roman" w:cs="Times New Roman"/>
          <w:sz w:val="28"/>
          <w:szCs w:val="28"/>
        </w:rPr>
        <w:t xml:space="preserve"> Закона 6-ФЗ (ст. 11) эта форма </w:t>
      </w:r>
      <w:r>
        <w:rPr>
          <w:rFonts w:ascii="Times New Roman" w:hAnsi="Times New Roman" w:cs="Times New Roman"/>
          <w:sz w:val="28"/>
          <w:szCs w:val="28"/>
        </w:rPr>
        <w:t xml:space="preserve">должна</w:t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утверждена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стандарт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 для проведения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Отмечу, что в письме Минфина </w:t>
      </w:r>
      <w:r>
        <w:rPr>
          <w:rFonts w:ascii="Times New Roman" w:hAnsi="Times New Roman" w:cs="Times New Roman"/>
          <w:sz w:val="28"/>
          <w:szCs w:val="28"/>
        </w:rPr>
        <w:t xml:space="preserve">от 19 апреля 2022 г. </w:t>
      </w:r>
      <w:r>
        <w:rPr>
          <w:rFonts w:ascii="Times New Roman" w:hAnsi="Times New Roman" w:cs="Times New Roman"/>
          <w:sz w:val="28"/>
          <w:szCs w:val="28"/>
        </w:rPr>
        <w:t xml:space="preserve">излагается именно эта точка зрения.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Напомню, что с</w:t>
      </w:r>
      <w:r>
        <w:rPr>
          <w:rFonts w:ascii="Times New Roman" w:hAnsi="Times New Roman" w:cs="Times New Roman"/>
          <w:sz w:val="28"/>
          <w:szCs w:val="28"/>
        </w:rPr>
        <w:t xml:space="preserve">тандарты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общими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утвержденными Счетной палатой РФ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cs="Times New Roman"/>
          <w:sz w:val="28"/>
          <w:szCs w:val="28"/>
        </w:rPr>
        <w:t xml:space="preserve"> 29 марта этого </w:t>
      </w:r>
      <w:r>
        <w:rPr>
          <w:rFonts w:ascii="Times New Roman" w:hAnsi="Times New Roman" w:cs="Times New Roman"/>
          <w:sz w:val="28"/>
          <w:szCs w:val="28"/>
        </w:rPr>
        <w:t xml:space="preserve">года).</w:t>
      </w:r>
      <w:r>
        <w:rPr>
          <w:rFonts w:ascii="Times New Roman" w:hAnsi="Times New Roman" w:cs="Times New Roman"/>
          <w:sz w:val="28"/>
          <w:szCs w:val="28"/>
        </w:rPr>
        <w:t xml:space="preserve"> Эти</w:t>
      </w:r>
      <w:r>
        <w:rPr>
          <w:rFonts w:ascii="Times New Roman" w:hAnsi="Times New Roman" w:cs="Times New Roman"/>
          <w:sz w:val="28"/>
          <w:szCs w:val="28"/>
        </w:rPr>
        <w:t xml:space="preserve">ми</w:t>
      </w:r>
      <w:r>
        <w:rPr>
          <w:rFonts w:ascii="Times New Roman" w:hAnsi="Times New Roman" w:cs="Times New Roman"/>
          <w:sz w:val="28"/>
          <w:szCs w:val="28"/>
        </w:rPr>
        <w:t xml:space="preserve"> Общими требованиями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 xml:space="preserve">все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, оформляемы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в ходе и по результатам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утверждаться именно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к стандартам. </w:t>
      </w:r>
      <w:r>
        <w:rPr>
          <w:rFonts w:ascii="Times New Roman" w:hAnsi="Times New Roman" w:cs="Times New Roman"/>
          <w:sz w:val="28"/>
          <w:szCs w:val="28"/>
        </w:rPr>
        <w:t xml:space="preserve">Кроме того, при разработке собственной формы уведомления можно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 xml:space="preserve">образца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формы, утвержденные Минфином для внутреннего финансового контроля (приказ от 30.12.2020 №340н).</w:t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какие сроки должно быть направлено уведомление? Согласно БК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 применении бюджетных мер принуждения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30 календарных дней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 дня окончания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опи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объекту контроля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Отмечу, что в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>
        <w:rPr>
          <w:rFonts w:ascii="Times New Roman" w:hAnsi="Times New Roman" w:cs="Times New Roman"/>
          <w:sz w:val="28"/>
          <w:szCs w:val="28"/>
        </w:rPr>
        <w:t xml:space="preserve">практике датой окончания контрольного мероприятия является дата утверждения отчета (это предусмотрено Порядком осуществления полномочий по внешнему финансовому контролю, утвержденным решением городской Думы).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Этот срок является важным, поскольку согласно Правилам, утвержденным постановлением Правительства РФ от 07.02.2019 № 91, финансовый орган отказывает в применении бюджетных мер принуждения, если уведомление поступило с нарушением срока.</w:t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рган финансового контроля вправе направить </w:t>
      </w:r>
      <w:r>
        <w:rPr>
          <w:rFonts w:ascii="Times New Roman" w:hAnsi="Times New Roman" w:cs="Times New Roman"/>
          <w:sz w:val="28"/>
          <w:szCs w:val="28"/>
        </w:rPr>
        <w:t xml:space="preserve">нам</w:t>
      </w:r>
      <w:r>
        <w:rPr>
          <w:rFonts w:ascii="Times New Roman" w:hAnsi="Times New Roman" w:cs="Times New Roman"/>
          <w:sz w:val="28"/>
          <w:szCs w:val="28"/>
        </w:rPr>
        <w:t xml:space="preserve"> запрос об уточнении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(ответ на запрос дается в течение 30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bookmarkStart w:id="0" w:name="Par8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Далее, </w:t>
      </w:r>
      <w:r>
        <w:rPr>
          <w:rFonts w:ascii="Times New Roman" w:hAnsi="Times New Roman" w:cs="Times New Roman"/>
          <w:sz w:val="28"/>
          <w:szCs w:val="28"/>
        </w:rPr>
        <w:t xml:space="preserve">финорган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30 </w:t>
      </w:r>
      <w:r>
        <w:rPr>
          <w:rFonts w:ascii="Times New Roman" w:hAnsi="Times New Roman" w:cs="Times New Roman"/>
          <w:sz w:val="28"/>
          <w:szCs w:val="28"/>
        </w:rPr>
        <w:t xml:space="preserve">дней</w:t>
      </w:r>
      <w:r>
        <w:rPr>
          <w:rFonts w:ascii="Times New Roman" w:hAnsi="Times New Roman" w:cs="Times New Roman"/>
          <w:sz w:val="28"/>
          <w:szCs w:val="28"/>
        </w:rPr>
        <w:t xml:space="preserve">(!) </w:t>
      </w:r>
      <w:r>
        <w:rPr>
          <w:rFonts w:ascii="Times New Roman" w:hAnsi="Times New Roman" w:cs="Times New Roman"/>
          <w:sz w:val="28"/>
          <w:szCs w:val="28"/>
        </w:rPr>
        <w:t xml:space="preserve">после получения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выносит решение о применении бюджетной меры принуждения. Основания для отказа в ее применении предусмотрены постановлением 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(перечень закрытый)</w:t>
      </w:r>
      <w:r>
        <w:rPr>
          <w:rFonts w:ascii="Times New Roman" w:hAnsi="Times New Roman" w:cs="Times New Roman"/>
          <w:sz w:val="28"/>
          <w:szCs w:val="28"/>
        </w:rPr>
        <w:t xml:space="preserve">. Например, </w:t>
      </w:r>
      <w:r>
        <w:rPr>
          <w:rFonts w:ascii="Times New Roman" w:hAnsi="Times New Roman" w:cs="Times New Roman"/>
          <w:sz w:val="28"/>
          <w:szCs w:val="28"/>
        </w:rPr>
        <w:t xml:space="preserve">если в уве</w:t>
      </w:r>
      <w:r>
        <w:rPr>
          <w:rFonts w:ascii="Times New Roman" w:hAnsi="Times New Roman" w:cs="Times New Roman"/>
          <w:sz w:val="28"/>
          <w:szCs w:val="28"/>
        </w:rPr>
        <w:t xml:space="preserve">домлении </w:t>
      </w:r>
      <w:r>
        <w:rPr>
          <w:rFonts w:ascii="Times New Roman" w:hAnsi="Times New Roman" w:cs="Times New Roman"/>
          <w:sz w:val="28"/>
          <w:szCs w:val="28"/>
        </w:rPr>
        <w:t xml:space="preserve">указано нарушение, за совершение которого не предусмотрено применение бюджетной меры принуждения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решени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до одного года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принятия.</w:t>
      </w:r>
      <w:r>
        <w:rPr>
          <w:rFonts w:ascii="Times New Roman" w:hAnsi="Times New Roman" w:cs="Times New Roman"/>
          <w:sz w:val="28"/>
          <w:szCs w:val="28"/>
        </w:rPr>
        <w:t xml:space="preserve"> Кроме того, </w:t>
      </w:r>
      <w:r>
        <w:rPr>
          <w:rFonts w:ascii="Times New Roman" w:hAnsi="Times New Roman" w:cs="Times New Roman"/>
          <w:sz w:val="28"/>
          <w:szCs w:val="28"/>
        </w:rPr>
        <w:t xml:space="preserve">срок исполнения может быть продлен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общими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определенными Правительством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Финорган</w:t>
      </w:r>
      <w:r>
        <w:rPr>
          <w:rFonts w:ascii="Times New Roman" w:hAnsi="Times New Roman" w:cs="Times New Roman"/>
          <w:sz w:val="28"/>
          <w:szCs w:val="28"/>
        </w:rPr>
        <w:t xml:space="preserve"> вправе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принять решение об изменении или отмене решения о применении бюджетной меры принуждения. </w:t>
      </w:r>
      <w:r>
        <w:rPr>
          <w:rFonts w:ascii="Times New Roman" w:hAnsi="Times New Roman" w:cs="Times New Roman"/>
          <w:i/>
          <w:sz w:val="28"/>
          <w:szCs w:val="28"/>
        </w:rPr>
        <w:t xml:space="preserve">Информация о правовых актах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этому вопросу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представлена на слайде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применительно к </w:t>
      </w:r>
      <w:r>
        <w:rPr>
          <w:rFonts w:ascii="Times New Roman" w:hAnsi="Times New Roman" w:cs="Times New Roman"/>
          <w:sz w:val="28"/>
          <w:szCs w:val="28"/>
        </w:rPr>
        <w:t xml:space="preserve">нашим </w:t>
      </w:r>
      <w:r>
        <w:rPr>
          <w:rFonts w:ascii="Times New Roman" w:hAnsi="Times New Roman" w:cs="Times New Roman"/>
          <w:sz w:val="28"/>
          <w:szCs w:val="28"/>
        </w:rPr>
        <w:t xml:space="preserve">полномочиям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представляется важным выделить следующие тезисы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уведомления составляются при выявлении </w:t>
      </w:r>
      <w:r>
        <w:rPr>
          <w:rFonts w:ascii="Times New Roman" w:hAnsi="Times New Roman" w:cs="Times New Roman"/>
          <w:sz w:val="28"/>
          <w:szCs w:val="28"/>
        </w:rPr>
        <w:t xml:space="preserve">ограниченного круга нарушений</w:t>
      </w:r>
      <w:r>
        <w:rPr>
          <w:rFonts w:ascii="Times New Roman" w:hAnsi="Times New Roman" w:cs="Times New Roman"/>
          <w:sz w:val="28"/>
          <w:szCs w:val="28"/>
        </w:rPr>
        <w:t xml:space="preserve">, за совершение котор</w:t>
      </w:r>
      <w:r>
        <w:rPr>
          <w:rFonts w:ascii="Times New Roman" w:hAnsi="Times New Roman" w:cs="Times New Roman"/>
          <w:sz w:val="28"/>
          <w:szCs w:val="28"/>
        </w:rPr>
        <w:t xml:space="preserve">ых</w:t>
      </w:r>
      <w:r>
        <w:rPr>
          <w:rFonts w:ascii="Times New Roman" w:hAnsi="Times New Roman" w:cs="Times New Roman"/>
          <w:sz w:val="28"/>
          <w:szCs w:val="28"/>
        </w:rPr>
        <w:t xml:space="preserve"> главой 30 БК предусмотрено применение мер бюджетного принуждения. Для муниципального уровня</w:t>
      </w:r>
      <w:r>
        <w:rPr>
          <w:rFonts w:ascii="Times New Roman" w:hAnsi="Times New Roman" w:cs="Times New Roman"/>
          <w:sz w:val="28"/>
          <w:szCs w:val="28"/>
        </w:rPr>
        <w:t xml:space="preserve"> – это</w:t>
      </w:r>
      <w:r>
        <w:rPr>
          <w:rFonts w:ascii="Times New Roman" w:hAnsi="Times New Roman" w:cs="Times New Roman"/>
          <w:sz w:val="28"/>
          <w:szCs w:val="28"/>
        </w:rPr>
        <w:t xml:space="preserve"> нецелевое использование средств, предоставленных другому бюджету (межбюджетный трансферт из местного бюджета, кроме субвенций и дотаций на выравнивание бюджетной обеспеченности), либо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бюджетный кредит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предоставленный из местного бюджета. </w:t>
      </w:r>
      <w:r>
        <w:rPr>
          <w:rFonts w:ascii="Times New Roman" w:hAnsi="Times New Roman" w:cs="Times New Roman"/>
          <w:sz w:val="28"/>
          <w:szCs w:val="28"/>
        </w:rPr>
        <w:t xml:space="preserve">Напомню, что </w:t>
      </w:r>
      <w:r>
        <w:rPr>
          <w:rFonts w:ascii="Times New Roman" w:hAnsi="Times New Roman" w:cs="Times New Roman"/>
          <w:sz w:val="28"/>
          <w:szCs w:val="28"/>
        </w:rPr>
        <w:t xml:space="preserve">БК предусмотрены случаи возможного предоставления межбюджетных трансфертов из местного бюджета (например, субсидии из бюджета муниципального района в бюджет поселения) или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бюджетных кредитов. </w:t>
      </w:r>
      <w:r>
        <w:rPr>
          <w:rFonts w:ascii="Times New Roman" w:hAnsi="Times New Roman" w:cs="Times New Roman"/>
          <w:sz w:val="28"/>
          <w:szCs w:val="28"/>
        </w:rPr>
        <w:t xml:space="preserve">Но, </w:t>
      </w:r>
      <w:r>
        <w:rPr>
          <w:rFonts w:ascii="Times New Roman" w:hAnsi="Times New Roman" w:cs="Times New Roman"/>
          <w:sz w:val="28"/>
          <w:szCs w:val="28"/>
        </w:rPr>
        <w:t xml:space="preserve">как я уже сказала,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практике </w:t>
      </w:r>
      <w:r>
        <w:rPr>
          <w:rFonts w:ascii="Times New Roman" w:hAnsi="Times New Roman" w:cs="Times New Roman"/>
          <w:sz w:val="28"/>
          <w:szCs w:val="28"/>
        </w:rPr>
        <w:t xml:space="preserve">КСП</w:t>
      </w:r>
      <w:r>
        <w:rPr>
          <w:rFonts w:ascii="Times New Roman" w:hAnsi="Times New Roman" w:cs="Times New Roman"/>
          <w:sz w:val="28"/>
          <w:szCs w:val="28"/>
        </w:rPr>
        <w:t xml:space="preserve"> Воронеж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такие с</w:t>
      </w:r>
      <w:r>
        <w:rPr>
          <w:rFonts w:ascii="Times New Roman" w:hAnsi="Times New Roman" w:cs="Times New Roman"/>
          <w:sz w:val="28"/>
          <w:szCs w:val="28"/>
        </w:rPr>
        <w:t xml:space="preserve">лучаи отсутствуют.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Связанный с этим вопрос, направляется ли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о применении бюджетных мер принуждения </w:t>
      </w:r>
      <w:r>
        <w:rPr>
          <w:rFonts w:ascii="Times New Roman" w:hAnsi="Times New Roman" w:cs="Times New Roman"/>
          <w:sz w:val="28"/>
          <w:szCs w:val="28"/>
        </w:rPr>
        <w:t xml:space="preserve">при выявлении нецелевого использования бюджетных средств в </w:t>
      </w:r>
      <w:r>
        <w:rPr>
          <w:rFonts w:ascii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-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письме Минфина России от 10 августа 2017 г. разъясняется, что </w:t>
      </w:r>
      <w:r>
        <w:rPr>
          <w:rFonts w:ascii="Times New Roman" w:hAnsi="Times New Roman" w:cs="Times New Roman"/>
          <w:sz w:val="28"/>
          <w:szCs w:val="28"/>
        </w:rPr>
        <w:t xml:space="preserve">поскольку</w:t>
      </w:r>
      <w:r>
        <w:rPr>
          <w:rFonts w:ascii="Times New Roman" w:hAnsi="Times New Roman" w:cs="Times New Roman"/>
          <w:sz w:val="28"/>
          <w:szCs w:val="28"/>
        </w:rPr>
        <w:t xml:space="preserve"> юридические лица не являются участниками бюджетного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, в их отношении </w:t>
      </w:r>
      <w:r>
        <w:rPr>
          <w:rFonts w:ascii="Times New Roman" w:hAnsi="Times New Roman" w:cs="Times New Roman"/>
          <w:sz w:val="28"/>
          <w:szCs w:val="28"/>
        </w:rPr>
        <w:t xml:space="preserve">не предусмотрено применение бюджетных мер принуждения, формирование и направление уведомления не осуществляется.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при выявлении случаев нецелевого использования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основания для направления уведомления отсутствуют. </w:t>
      </w:r>
      <w:r>
        <w:rPr>
          <w:rFonts w:ascii="Times New Roman" w:hAnsi="Times New Roman" w:cs="Times New Roman"/>
          <w:i/>
          <w:sz w:val="28"/>
          <w:szCs w:val="28"/>
        </w:rPr>
        <w:t xml:space="preserve">В качестве практического примера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этому вопросу</w:t>
      </w:r>
      <w:r>
        <w:rPr>
          <w:rFonts w:ascii="Times New Roman" w:hAnsi="Times New Roman" w:cs="Times New Roman"/>
          <w:i/>
          <w:sz w:val="28"/>
          <w:szCs w:val="28"/>
        </w:rPr>
        <w:t xml:space="preserve">, приведу информацию 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материалам</w:t>
      </w:r>
      <w:r>
        <w:rPr>
          <w:rFonts w:ascii="Times New Roman" w:hAnsi="Times New Roman" w:cs="Times New Roman"/>
          <w:i/>
          <w:sz w:val="28"/>
          <w:szCs w:val="28"/>
        </w:rPr>
        <w:t xml:space="preserve"> заседания Совета КСО при КСП Московской области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о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применени</w:t>
      </w:r>
      <w:r>
        <w:rPr>
          <w:rFonts w:ascii="Times New Roman" w:hAnsi="Times New Roman" w:cs="Times New Roman"/>
          <w:i/>
          <w:sz w:val="28"/>
          <w:szCs w:val="28"/>
        </w:rPr>
        <w:t xml:space="preserve">и</w:t>
      </w:r>
      <w:r>
        <w:rPr>
          <w:rFonts w:ascii="Times New Roman" w:hAnsi="Times New Roman" w:cs="Times New Roman"/>
          <w:i/>
          <w:sz w:val="28"/>
          <w:szCs w:val="28"/>
        </w:rPr>
        <w:t xml:space="preserve"> мер бюджетного принуждения на основе анализа отчетов палат за 2015 год</w:t>
      </w:r>
      <w:r>
        <w:rPr>
          <w:rFonts w:ascii="Times New Roman" w:hAnsi="Times New Roman" w:cs="Times New Roman"/>
          <w:i/>
          <w:sz w:val="28"/>
          <w:szCs w:val="28"/>
        </w:rPr>
        <w:t xml:space="preserve">.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Контрольно-счетной палатой Московской области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i/>
          <w:sz w:val="28"/>
          <w:szCs w:val="28"/>
        </w:rPr>
        <w:t xml:space="preserve">установлено, что </w:t>
      </w:r>
      <w:r>
        <w:rPr>
          <w:rFonts w:ascii="Times New Roman" w:hAnsi="Times New Roman" w:cs="Times New Roman"/>
          <w:i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i/>
          <w:sz w:val="28"/>
          <w:szCs w:val="28"/>
        </w:rPr>
        <w:t xml:space="preserve">контрольно-счетными органами направля</w:t>
      </w:r>
      <w:r>
        <w:rPr>
          <w:rFonts w:ascii="Times New Roman" w:hAnsi="Times New Roman" w:cs="Times New Roman"/>
          <w:i/>
          <w:sz w:val="28"/>
          <w:szCs w:val="28"/>
        </w:rPr>
        <w:t xml:space="preserve">лись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уведомления о применении бюджетных мер принуждения в муниципальные финансовые органы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случаях выявления нецелевого использования средств муниципального бюджета учреждениями,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«</w:t>
      </w:r>
      <w:r>
        <w:rPr>
          <w:rFonts w:ascii="Times New Roman" w:hAnsi="Times New Roman" w:cs="Times New Roman"/>
          <w:i/>
          <w:sz w:val="28"/>
          <w:szCs w:val="28"/>
        </w:rPr>
        <w:t xml:space="preserve">не до конца разобравшись в данном вопросе</w:t>
      </w:r>
      <w:r>
        <w:rPr>
          <w:rFonts w:ascii="Times New Roman" w:hAnsi="Times New Roman" w:cs="Times New Roman"/>
          <w:i/>
          <w:sz w:val="28"/>
          <w:szCs w:val="28"/>
        </w:rPr>
        <w:t xml:space="preserve">»</w:t>
      </w:r>
      <w:r>
        <w:rPr>
          <w:rFonts w:ascii="Times New Roman" w:hAnsi="Times New Roman" w:cs="Times New Roman"/>
          <w:i/>
          <w:sz w:val="28"/>
          <w:szCs w:val="28"/>
        </w:rPr>
        <w:t xml:space="preserve">. А </w:t>
      </w:r>
      <w:r>
        <w:rPr>
          <w:rFonts w:ascii="Times New Roman" w:hAnsi="Times New Roman" w:cs="Times New Roman"/>
          <w:i/>
          <w:sz w:val="28"/>
          <w:szCs w:val="28"/>
        </w:rPr>
        <w:t xml:space="preserve">«</w:t>
      </w:r>
      <w:r>
        <w:rPr>
          <w:rFonts w:ascii="Times New Roman" w:hAnsi="Times New Roman" w:cs="Times New Roman"/>
          <w:i/>
          <w:sz w:val="28"/>
          <w:szCs w:val="28"/>
        </w:rPr>
        <w:t xml:space="preserve">финансовые органы, </w:t>
      </w:r>
      <w:r>
        <w:rPr>
          <w:rFonts w:ascii="Times New Roman" w:hAnsi="Times New Roman" w:cs="Times New Roman"/>
          <w:i/>
          <w:sz w:val="28"/>
          <w:szCs w:val="28"/>
        </w:rPr>
        <w:t xml:space="preserve">также</w:t>
      </w:r>
      <w:r>
        <w:rPr>
          <w:rFonts w:ascii="Times New Roman" w:hAnsi="Times New Roman" w:cs="Times New Roman"/>
          <w:i/>
          <w:sz w:val="28"/>
          <w:szCs w:val="28"/>
        </w:rPr>
        <w:t xml:space="preserve"> не разобравшись</w:t>
      </w:r>
      <w:r>
        <w:rPr>
          <w:rFonts w:ascii="Times New Roman" w:hAnsi="Times New Roman" w:cs="Times New Roman"/>
          <w:i/>
          <w:sz w:val="28"/>
          <w:szCs w:val="28"/>
        </w:rPr>
        <w:t xml:space="preserve">,</w:t>
      </w:r>
      <w:r>
        <w:rPr>
          <w:rFonts w:ascii="Times New Roman" w:hAnsi="Times New Roman" w:cs="Times New Roman"/>
          <w:i/>
          <w:sz w:val="28"/>
          <w:szCs w:val="28"/>
        </w:rPr>
        <w:t xml:space="preserve"> неправомерно уменьша</w:t>
      </w:r>
      <w:r>
        <w:rPr>
          <w:rFonts w:ascii="Times New Roman" w:hAnsi="Times New Roman" w:cs="Times New Roman"/>
          <w:i/>
          <w:sz w:val="28"/>
          <w:szCs w:val="28"/>
        </w:rPr>
        <w:t xml:space="preserve">ли</w:t>
      </w:r>
      <w:r>
        <w:rPr>
          <w:rFonts w:ascii="Times New Roman" w:hAnsi="Times New Roman" w:cs="Times New Roman"/>
          <w:i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i/>
          <w:sz w:val="28"/>
          <w:szCs w:val="28"/>
        </w:rPr>
        <w:t xml:space="preserve">ы</w:t>
      </w:r>
      <w:r>
        <w:rPr>
          <w:rFonts w:ascii="Times New Roman" w:hAnsi="Times New Roman" w:cs="Times New Roman"/>
          <w:i/>
          <w:sz w:val="28"/>
          <w:szCs w:val="28"/>
        </w:rPr>
        <w:t xml:space="preserve"> средств на выполнение муниципального задания бюджетным учреждениям, а также снима</w:t>
      </w:r>
      <w:r>
        <w:rPr>
          <w:rFonts w:ascii="Times New Roman" w:hAnsi="Times New Roman" w:cs="Times New Roman"/>
          <w:i/>
          <w:sz w:val="28"/>
          <w:szCs w:val="28"/>
        </w:rPr>
        <w:t xml:space="preserve">ли</w:t>
      </w:r>
      <w:r>
        <w:rPr>
          <w:rFonts w:ascii="Times New Roman" w:hAnsi="Times New Roman" w:cs="Times New Roman"/>
          <w:i/>
          <w:sz w:val="28"/>
          <w:szCs w:val="28"/>
        </w:rPr>
        <w:t xml:space="preserve"> средства с лицевых счетов казенных учреждений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»</w:t>
      </w:r>
      <w:r>
        <w:rPr>
          <w:rFonts w:ascii="Times New Roman" w:hAnsi="Times New Roman" w:cs="Times New Roman"/>
          <w:i/>
          <w:sz w:val="28"/>
          <w:szCs w:val="28"/>
        </w:rPr>
        <w:t xml:space="preserve">.</w:t>
      </w:r>
      <w:r>
        <w:rPr>
          <w:rFonts w:ascii="Times New Roman" w:hAnsi="Times New Roman" w:cs="Times New Roman"/>
          <w:i/>
          <w:sz w:val="28"/>
          <w:szCs w:val="28"/>
        </w:rPr>
        <w:t xml:space="preserve"> Был сделан вывод, что у</w:t>
      </w:r>
      <w:r>
        <w:rPr>
          <w:rFonts w:ascii="Times New Roman" w:hAnsi="Times New Roman" w:cs="Times New Roman"/>
          <w:i/>
          <w:sz w:val="28"/>
          <w:szCs w:val="28"/>
        </w:rPr>
        <w:t xml:space="preserve">меньшение объема средств</w:t>
      </w:r>
      <w:r>
        <w:rPr>
          <w:rFonts w:ascii="Times New Roman" w:hAnsi="Times New Roman" w:cs="Times New Roman"/>
          <w:i/>
          <w:sz w:val="28"/>
          <w:szCs w:val="28"/>
        </w:rPr>
        <w:t xml:space="preserve"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 отсутствии законных оснований,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привести к тому, что муниципальные услуги бюджетными, автономными и казенными учреждениями будут оказываться не в полном объеме и низкого качества.</w:t>
      </w:r>
      <w:r/>
    </w:p>
    <w:p>
      <w:pPr>
        <w:ind w:firstLine="851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 этой связи также возникает вопрос, как поступить в случае, если установлено нецелевое использование средств, предоставленных из бюджета другого уровня (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областного)</w:t>
      </w:r>
      <w:r>
        <w:rPr>
          <w:rFonts w:ascii="Times New Roman" w:hAnsi="Times New Roman" w:cs="Times New Roman"/>
          <w:sz w:val="28"/>
          <w:szCs w:val="28"/>
        </w:rPr>
        <w:t xml:space="preserve"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действий законом в таком случае прямо не предусмотрен. </w:t>
      </w:r>
      <w:r>
        <w:rPr>
          <w:rFonts w:ascii="Times New Roman" w:hAnsi="Times New Roman" w:cs="Times New Roman"/>
          <w:sz w:val="28"/>
          <w:szCs w:val="28"/>
        </w:rPr>
        <w:t xml:space="preserve">Минфин России</w:t>
      </w:r>
      <w:r>
        <w:rPr>
          <w:rFonts w:ascii="Times New Roman" w:hAnsi="Times New Roman" w:cs="Times New Roman"/>
          <w:sz w:val="28"/>
          <w:szCs w:val="28"/>
        </w:rPr>
        <w:t xml:space="preserve"> в сво</w:t>
      </w:r>
      <w:r>
        <w:rPr>
          <w:rFonts w:ascii="Times New Roman" w:hAnsi="Times New Roman" w:cs="Times New Roman"/>
          <w:sz w:val="28"/>
          <w:szCs w:val="28"/>
        </w:rPr>
        <w:t xml:space="preserve">ем</w:t>
      </w:r>
      <w:r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 xml:space="preserve">е у</w:t>
      </w:r>
      <w:r>
        <w:rPr>
          <w:rFonts w:ascii="Times New Roman" w:hAnsi="Times New Roman" w:cs="Times New Roman"/>
          <w:sz w:val="28"/>
          <w:szCs w:val="28"/>
        </w:rPr>
        <w:t xml:space="preserve">казывает: «</w:t>
      </w:r>
      <w:r>
        <w:rPr>
          <w:rFonts w:ascii="Times New Roman" w:hAnsi="Times New Roman" w:cs="Times New Roman"/>
          <w:i/>
          <w:sz w:val="28"/>
          <w:szCs w:val="28"/>
        </w:rPr>
        <w:t xml:space="preserve">в</w:t>
      </w:r>
      <w:r>
        <w:rPr>
          <w:rFonts w:ascii="Times New Roman" w:hAnsi="Times New Roman" w:cs="Times New Roman"/>
          <w:i/>
          <w:sz w:val="28"/>
          <w:szCs w:val="28"/>
        </w:rPr>
        <w:t xml:space="preserve"> случае если органом муниципального финансового контроля установлены нарушения в части средств, полученных муниципальным образованием из бюджета субъекта, за совершение которых могут быть применены бюджетные меры принуждения, представляется целесообразным </w:t>
      </w:r>
      <w:r>
        <w:rPr>
          <w:rFonts w:ascii="Times New Roman" w:hAnsi="Times New Roman" w:cs="Times New Roman"/>
          <w:i/>
          <w:sz w:val="28"/>
          <w:szCs w:val="28"/>
        </w:rPr>
        <w:t xml:space="preserve">направить информацию об указанных нарушениях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орган государственного финансового контроля соответствующего субъекта РФ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от 16 октября 2020 г.</w:t>
      </w:r>
      <w:r>
        <w:rPr>
          <w:rFonts w:ascii="Times New Roman" w:hAnsi="Times New Roman" w:cs="Times New Roman"/>
          <w:i/>
          <w:sz w:val="28"/>
          <w:szCs w:val="28"/>
        </w:rPr>
        <w:t xml:space="preserve"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 другом письме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алогичной ситуации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Минфин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указал</w:t>
      </w:r>
      <w:r>
        <w:rPr>
          <w:rFonts w:ascii="Times New Roman" w:hAnsi="Times New Roman" w:cs="Times New Roman"/>
          <w:i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уведомление о применении бюджетных мер принуждения подлежит направлению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органом внешнего муниципального финансового контроля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финансовый орган субъекта РФ</w:t>
      </w:r>
      <w:r>
        <w:rPr>
          <w:rFonts w:ascii="Times New Roman" w:hAnsi="Times New Roman" w:cs="Times New Roman"/>
          <w:i/>
          <w:sz w:val="28"/>
          <w:szCs w:val="28"/>
        </w:rPr>
        <w:t xml:space="preserve">, из бюджета которого был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предоставлен</w:t>
      </w:r>
      <w:r>
        <w:rPr>
          <w:rFonts w:ascii="Times New Roman" w:hAnsi="Times New Roman" w:cs="Times New Roman"/>
          <w:i/>
          <w:sz w:val="28"/>
          <w:szCs w:val="28"/>
        </w:rPr>
        <w:t xml:space="preserve">ы средства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от 20 августа 2021 г.</w:t>
      </w:r>
      <w:r>
        <w:rPr>
          <w:rFonts w:ascii="Times New Roman" w:hAnsi="Times New Roman" w:cs="Times New Roman"/>
          <w:i/>
          <w:sz w:val="28"/>
          <w:szCs w:val="28"/>
        </w:rPr>
        <w:t xml:space="preserve"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разных толкований даже на уровне Минфина, вопрос остается открытым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и решать его придется каждому КСО исходя из конкретной ситуации.</w:t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ребуется ли регламентация на муниципальном уровне процедур направления уведомлений и разработка методической базы КСО? </w:t>
      </w:r>
      <w:r>
        <w:rPr>
          <w:rFonts w:ascii="Times New Roman" w:hAnsi="Times New Roman" w:cs="Times New Roman"/>
          <w:sz w:val="28"/>
          <w:szCs w:val="28"/>
        </w:rPr>
        <w:t xml:space="preserve">С точки зрения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это не требуется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Полагаю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этот вопрос может решаться индивидуально каждым КСО исходя из своих особенностей. Для примера, вопросы направления уведомлений отражены в Регламенте КСП Воронежа, ст</w:t>
      </w:r>
      <w:r>
        <w:rPr>
          <w:rFonts w:ascii="Times New Roman" w:hAnsi="Times New Roman" w:cs="Times New Roman"/>
          <w:sz w:val="28"/>
          <w:szCs w:val="28"/>
        </w:rPr>
        <w:t xml:space="preserve">андартах «Общие правила контрольного мероприятия» и «Контроль реализации результатов контрольного мероприятия». Отдельный стандарт нами не разрабатывался в связи с отсутствием необходимости. Вместе с тем, на практике такие стандарты встречаются, например,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Одинцовского городского округа Московской области в сентябре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отмечу, </w:t>
      </w:r>
      <w:r>
        <w:rPr>
          <w:rFonts w:ascii="Times New Roman" w:hAnsi="Times New Roman" w:cs="Times New Roman"/>
          <w:sz w:val="28"/>
          <w:szCs w:val="28"/>
        </w:rPr>
        <w:t xml:space="preserve">что п</w:t>
      </w:r>
      <w:r>
        <w:rPr>
          <w:rFonts w:ascii="Times New Roman" w:hAnsi="Times New Roman" w:cs="Times New Roman"/>
          <w:sz w:val="28"/>
          <w:szCs w:val="28"/>
        </w:rPr>
        <w:t xml:space="preserve">рименение к участнику бюджетного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бюджетной меры принуждения не освобождает должностных лиц от предусмотренной законом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или уголовной)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не освобождает от обязанностей по устранению нарушения.</w:t>
      </w:r>
      <w:r>
        <w:rPr>
          <w:rFonts w:ascii="Times New Roman" w:hAnsi="Times New Roman" w:cs="Times New Roman"/>
          <w:sz w:val="28"/>
          <w:szCs w:val="28"/>
        </w:rPr>
        <w:t xml:space="preserve"> Это прямо предусмотрено БК.</w:t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очевидная</w:t>
      </w:r>
      <w:r>
        <w:rPr>
          <w:rFonts w:ascii="Times New Roman" w:hAnsi="Times New Roman" w:cs="Times New Roman"/>
          <w:sz w:val="28"/>
          <w:szCs w:val="28"/>
        </w:rPr>
        <w:t xml:space="preserve"> «непопулярность» механизма направления уведомлений о применении бюджетных мер принуждения именно </w:t>
      </w:r>
      <w:r>
        <w:rPr>
          <w:rFonts w:ascii="Times New Roman" w:hAnsi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КСО не означает</w:t>
      </w:r>
      <w:r>
        <w:rPr>
          <w:rFonts w:ascii="Times New Roman" w:hAnsi="Times New Roman" w:cs="Times New Roman"/>
          <w:sz w:val="28"/>
          <w:szCs w:val="28"/>
        </w:rPr>
        <w:t xml:space="preserve">, что нарушение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оста</w:t>
      </w:r>
      <w:r>
        <w:rPr>
          <w:rFonts w:ascii="Times New Roman" w:hAnsi="Times New Roman" w:cs="Times New Roman"/>
          <w:sz w:val="28"/>
          <w:szCs w:val="28"/>
        </w:rPr>
        <w:t xml:space="preserve">ва</w:t>
      </w:r>
      <w:r>
        <w:rPr>
          <w:rFonts w:ascii="Times New Roman" w:hAnsi="Times New Roman" w:cs="Times New Roman"/>
          <w:sz w:val="28"/>
          <w:szCs w:val="28"/>
        </w:rPr>
        <w:t xml:space="preserve">ться</w:t>
      </w:r>
      <w:r>
        <w:rPr>
          <w:rFonts w:ascii="Times New Roman" w:hAnsi="Times New Roman" w:cs="Times New Roman"/>
          <w:sz w:val="28"/>
          <w:szCs w:val="28"/>
        </w:rPr>
        <w:t xml:space="preserve"> безнаказанным. П</w:t>
      </w:r>
      <w:r>
        <w:rPr>
          <w:rFonts w:ascii="Times New Roman" w:hAnsi="Times New Roman" w:cs="Times New Roman"/>
          <w:sz w:val="28"/>
          <w:szCs w:val="28"/>
        </w:rPr>
        <w:t xml:space="preserve">о всем фактам нарушений КСО вправе внести 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или предписание для принятия мер по устранению выявленных бюджетных и иных нарушений,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предотвращению нанесения ущерба муниципальному образованию или возмещению причиненного вреда,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направить информацию в правоохранительные органы, прокуратуру.</w:t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Благодарю за внимание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9013302"/>
      <w:docPartObj>
        <w:docPartGallery w:val="Page Numbers (Bottom of Page)"/>
        <w:docPartUnique w:val="true"/>
      </w:docPartObj>
      <w:rPr/>
    </w:sdtPr>
    <w:sdtContent>
      <w:p>
        <w:pPr>
          <w:pStyle w:val="722"/>
          <w:jc w:val="right"/>
          <w:rPr>
            <w:rFonts w:ascii="Times New Roman" w:hAnsi="Times New Roman" w:cs="Times New Roman"/>
            <w:b/>
            <w:sz w:val="28"/>
            <w:szCs w:val="28"/>
          </w:rPr>
        </w:pPr>
        <w:r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b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b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  <w:r/>
      </w:p>
    </w:sdtContent>
  </w:sdt>
  <w:p>
    <w:pPr>
      <w:pStyle w:val="72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12"/>
    <w:next w:val="71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71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12"/>
    <w:next w:val="71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1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12"/>
    <w:next w:val="71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71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12"/>
    <w:next w:val="71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1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12"/>
    <w:next w:val="71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1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12"/>
    <w:next w:val="71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71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12"/>
    <w:next w:val="71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1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12"/>
    <w:next w:val="71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1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12"/>
    <w:next w:val="71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1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712"/>
    <w:next w:val="71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13"/>
    <w:link w:val="32"/>
    <w:uiPriority w:val="10"/>
    <w:rPr>
      <w:sz w:val="48"/>
      <w:szCs w:val="48"/>
    </w:rPr>
  </w:style>
  <w:style w:type="paragraph" w:styleId="34">
    <w:name w:val="Subtitle"/>
    <w:basedOn w:val="712"/>
    <w:next w:val="71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13"/>
    <w:link w:val="34"/>
    <w:uiPriority w:val="11"/>
    <w:rPr>
      <w:sz w:val="24"/>
      <w:szCs w:val="24"/>
    </w:rPr>
  </w:style>
  <w:style w:type="paragraph" w:styleId="36">
    <w:name w:val="Quote"/>
    <w:basedOn w:val="712"/>
    <w:next w:val="71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12"/>
    <w:next w:val="71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13"/>
    <w:link w:val="720"/>
    <w:uiPriority w:val="99"/>
  </w:style>
  <w:style w:type="character" w:styleId="43">
    <w:name w:val="Footer Char"/>
    <w:basedOn w:val="713"/>
    <w:link w:val="722"/>
    <w:uiPriority w:val="99"/>
  </w:style>
  <w:style w:type="paragraph" w:styleId="44">
    <w:name w:val="Caption"/>
    <w:basedOn w:val="712"/>
    <w:next w:val="7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22"/>
    <w:uiPriority w:val="99"/>
  </w:style>
  <w:style w:type="table" w:styleId="46">
    <w:name w:val="Table Grid"/>
    <w:basedOn w:val="7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7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7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7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7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7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7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7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7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7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7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7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7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7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71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13"/>
    <w:uiPriority w:val="99"/>
    <w:unhideWhenUsed/>
    <w:rPr>
      <w:vertAlign w:val="superscript"/>
    </w:rPr>
  </w:style>
  <w:style w:type="paragraph" w:styleId="176">
    <w:name w:val="endnote text"/>
    <w:basedOn w:val="71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13"/>
    <w:uiPriority w:val="99"/>
    <w:semiHidden/>
    <w:unhideWhenUsed/>
    <w:rPr>
      <w:vertAlign w:val="superscript"/>
    </w:rPr>
  </w:style>
  <w:style w:type="paragraph" w:styleId="179">
    <w:name w:val="toc 1"/>
    <w:basedOn w:val="712"/>
    <w:next w:val="71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12"/>
    <w:next w:val="71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12"/>
    <w:next w:val="71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12"/>
    <w:next w:val="71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12"/>
    <w:next w:val="71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12"/>
    <w:next w:val="71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12"/>
    <w:next w:val="71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12"/>
    <w:next w:val="71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12"/>
    <w:next w:val="71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12"/>
    <w:next w:val="712"/>
    <w:uiPriority w:val="99"/>
    <w:unhideWhenUsed/>
    <w:pPr>
      <w:spacing w:after="0" w:afterAutospacing="0"/>
    </w:pPr>
  </w:style>
  <w:style w:type="paragraph" w:styleId="712" w:default="1">
    <w:name w:val="Normal"/>
    <w:qFormat/>
  </w:style>
  <w:style w:type="character" w:styleId="713" w:default="1">
    <w:name w:val="Default Paragraph Font"/>
    <w:uiPriority w:val="1"/>
    <w:semiHidden/>
    <w:unhideWhenUsed/>
  </w:style>
  <w:style w:type="table" w:styleId="7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5" w:default="1">
    <w:name w:val="No List"/>
    <w:uiPriority w:val="99"/>
    <w:semiHidden/>
    <w:unhideWhenUsed/>
  </w:style>
  <w:style w:type="character" w:styleId="716">
    <w:name w:val="Hyperlink"/>
    <w:basedOn w:val="713"/>
    <w:uiPriority w:val="99"/>
    <w:unhideWhenUsed/>
    <w:rPr>
      <w:color w:val="0000FF" w:themeColor="hyperlink"/>
      <w:u w:val="single"/>
    </w:rPr>
  </w:style>
  <w:style w:type="paragraph" w:styleId="717">
    <w:name w:val="List Paragraph"/>
    <w:basedOn w:val="712"/>
    <w:qFormat/>
    <w:uiPriority w:val="34"/>
    <w:pPr>
      <w:contextualSpacing w:val="true"/>
      <w:ind w:left="720"/>
    </w:pPr>
  </w:style>
  <w:style w:type="paragraph" w:styleId="718" w:customStyle="1">
    <w:name w:val="ConsPlusNormal"/>
    <w:rPr>
      <w:rFonts w:ascii="Arial" w:hAnsi="Arial" w:cs="Arial" w:eastAsiaTheme="minorEastAsia"/>
      <w:sz w:val="20"/>
      <w:lang w:eastAsia="ru-RU"/>
    </w:rPr>
    <w:pPr>
      <w:spacing w:lineRule="auto" w:line="240" w:after="0"/>
      <w:widowControl w:val="off"/>
    </w:pPr>
  </w:style>
  <w:style w:type="paragraph" w:styleId="719" w:customStyle="1">
    <w:name w:val="ConsPlusTitle"/>
    <w:rPr>
      <w:rFonts w:ascii="Arial" w:hAnsi="Arial" w:cs="Arial" w:eastAsiaTheme="minorEastAsia"/>
      <w:b/>
      <w:sz w:val="20"/>
      <w:lang w:eastAsia="ru-RU"/>
    </w:rPr>
    <w:pPr>
      <w:spacing w:lineRule="auto" w:line="240" w:after="0"/>
      <w:widowControl w:val="off"/>
    </w:pPr>
  </w:style>
  <w:style w:type="paragraph" w:styleId="720">
    <w:name w:val="Header"/>
    <w:basedOn w:val="712"/>
    <w:link w:val="721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21" w:customStyle="1">
    <w:name w:val="Верхний колонтитул Знак"/>
    <w:basedOn w:val="713"/>
    <w:link w:val="720"/>
    <w:uiPriority w:val="99"/>
    <w:semiHidden/>
  </w:style>
  <w:style w:type="paragraph" w:styleId="722">
    <w:name w:val="Footer"/>
    <w:basedOn w:val="712"/>
    <w:link w:val="72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23" w:customStyle="1">
    <w:name w:val="Нижний колонтитул Знак"/>
    <w:basedOn w:val="713"/>
    <w:link w:val="72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Khlistun</dc:creator>
  <cp:revision>12</cp:revision>
  <dcterms:created xsi:type="dcterms:W3CDTF">2022-11-08T12:37:00Z</dcterms:created>
  <dcterms:modified xsi:type="dcterms:W3CDTF">2022-11-11T07:39:45Z</dcterms:modified>
</cp:coreProperties>
</file>